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7560"/>
      </w:tblGrid>
      <w:tr>
        <w:tc>
          <w:tcPr>
            <w:tcW w:type="dxa" w:w="5083"/>
            <w:shd w:fill="245F63"/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30"/>
              </w:rPr>
              <w:t>REUMA</w:t>
              <w:br/>
              <w:t>GLOBAL</w:t>
            </w:r>
          </w:p>
        </w:tc>
        <w:tc>
          <w:tcPr>
            <w:tcW w:type="dxa" w:w="5083"/>
            <w:shd w:fill="EAF3F1"/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</w:tcPr>
          <w:p>
            <w:r>
              <w:rPr>
                <w:b/>
                <w:sz w:val="26"/>
              </w:rPr>
              <w:t>Dra. Virginia Carrizo Abarza</w:t>
              <w:br/>
            </w:r>
            <w:r>
              <w:rPr>
                <w:sz w:val="20"/>
              </w:rPr>
              <w:t>Médica reumatóloga</w:t>
            </w:r>
          </w:p>
        </w:tc>
      </w:tr>
    </w:tbl>
    <w:p>
      <w:pPr>
        <w:pStyle w:val="Title"/>
        <w:spacing w:before="260" w:after="80"/>
        <w:jc w:val="center"/>
      </w:pPr>
      <w:r>
        <w:t>Cómo prepararte para una consulta de seguimiento</w:t>
      </w:r>
    </w:p>
    <w:p>
      <w:pPr>
        <w:spacing w:after="200"/>
        <w:jc w:val="center"/>
      </w:pPr>
      <w:r>
        <w:rPr>
          <w:i/>
        </w:rPr>
        <w:t>Guía para registrar cambios desde tu última consulta</w:t>
      </w:r>
    </w:p>
    <w:p>
      <w:r>
        <w:rPr>
          <w:b/>
        </w:rPr>
        <w:t xml:space="preserve">Registrar todos tus síntomas ayuda a evaluar la evolución de manera integral. </w:t>
      </w:r>
      <w:r>
        <w:t>Incluí lo que mejoró, lo que continúa igual y todo síntoma nuevo, aunque no parezca relacionado con tu enfermedad.</w:t>
      </w:r>
    </w:p>
    <w:p>
      <w:pPr>
        <w:pStyle w:val="Heading1"/>
        <w:keepNext/>
      </w:pPr>
      <w:r>
        <w:t>Antes de la consulta</w:t>
      </w:r>
    </w:p>
    <w:p>
      <w:pPr>
        <w:pStyle w:val="ListBullet"/>
        <w:spacing w:after="80"/>
        <w:ind w:left="317" w:hanging="259"/>
      </w:pPr>
      <w:r>
        <w:t>Pensá cómo te sentiste desde la última consulta y, especialmente, durante el último mes.</w:t>
      </w:r>
    </w:p>
    <w:p>
      <w:pPr>
        <w:pStyle w:val="ListBullet"/>
        <w:spacing w:after="80"/>
        <w:ind w:left="317" w:hanging="259"/>
      </w:pPr>
      <w:r>
        <w:t>Anotá síntomas nuevos, cambios en síntomas conocidos y cualquier limitación en tus actividades.</w:t>
      </w:r>
    </w:p>
    <w:p>
      <w:pPr>
        <w:pStyle w:val="ListBullet"/>
        <w:spacing w:after="80"/>
        <w:ind w:left="317" w:hanging="259"/>
      </w:pPr>
      <w:r>
        <w:t>Prepará la lista completa de medicaciones, con principio activo, dosis y frecuencia.</w:t>
      </w:r>
    </w:p>
    <w:p>
      <w:pPr>
        <w:pStyle w:val="ListBullet"/>
        <w:spacing w:after="80"/>
        <w:ind w:left="317" w:hanging="259"/>
      </w:pPr>
      <w:r>
        <w:t>Reuní análisis, estudios, informes, consultas médicas e internaciones recientes.</w:t>
      </w:r>
    </w:p>
    <w:p>
      <w:pPr>
        <w:pStyle w:val="ListBullet"/>
        <w:spacing w:after="80"/>
        <w:ind w:left="317" w:hanging="259"/>
      </w:pPr>
      <w:r>
        <w:t>Anotá infecciones, vacunas, procedimientos y efectos adversos desde el último control.</w:t>
      </w:r>
    </w:p>
    <w:p>
      <w:pPr>
        <w:pStyle w:val="ListBullet"/>
        <w:spacing w:after="80"/>
        <w:ind w:left="317" w:hanging="259"/>
      </w:pPr>
      <w:r>
        <w:t>Escribí las dudas y decisiones que quieras conversar con la doctora.</w:t>
      </w:r>
    </w:p>
    <w:p>
      <w:pPr>
        <w:pStyle w:val="Heading1"/>
        <w:keepNext/>
      </w:pPr>
      <w:r>
        <w:t>Cómo registrar cada síntoma</w:t>
      </w:r>
    </w:p>
    <w:p>
      <w:r>
        <w:t>Para cada síntoma, anotá:</w:t>
      </w:r>
    </w:p>
    <w:p>
      <w:pPr>
        <w:pStyle w:val="ListBullet"/>
        <w:spacing w:after="80"/>
        <w:ind w:left="317" w:hanging="259"/>
      </w:pPr>
      <w:r>
        <w:t>Cuándo comenzó y si es continuo o aparece por momentos.</w:t>
      </w:r>
    </w:p>
    <w:p>
      <w:pPr>
        <w:pStyle w:val="ListBullet"/>
        <w:spacing w:after="80"/>
        <w:ind w:left="317" w:hanging="259"/>
      </w:pPr>
      <w:r>
        <w:t>Qué partes del cuerpo afecta y cuánto dura.</w:t>
      </w:r>
    </w:p>
    <w:p>
      <w:pPr>
        <w:pStyle w:val="ListBullet"/>
        <w:spacing w:after="80"/>
        <w:ind w:left="317" w:hanging="259"/>
      </w:pPr>
      <w:r>
        <w:t>Su intensidad de 0 a 10, donde 0 es ausencia y 10 la mayor intensidad imaginable.</w:t>
      </w:r>
    </w:p>
    <w:p>
      <w:pPr>
        <w:pStyle w:val="ListBullet"/>
        <w:spacing w:after="80"/>
        <w:ind w:left="317" w:hanging="259"/>
      </w:pPr>
      <w:r>
        <w:t>Qué lo mejora o empeora y cuánto limita tus actividades, sueño, estudio o trabajo.</w:t>
      </w:r>
    </w:p>
    <w:p>
      <w:pPr>
        <w:pStyle w:val="ListBullet"/>
        <w:spacing w:after="80"/>
        <w:ind w:left="317" w:hanging="259"/>
      </w:pPr>
      <w:r>
        <w:t>Si está mejor, igual o peor que en la consulta anterior.</w:t>
      </w:r>
    </w:p>
    <w:p>
      <w:r>
        <w:br w:type="page"/>
      </w:r>
    </w:p>
    <w:p>
      <w:pPr>
        <w:pStyle w:val="Heading1"/>
        <w:keepNext/>
      </w:pPr>
      <w:r>
        <w:t>Registrá todos tus síntomas</w:t>
      </w:r>
    </w:p>
    <w:p>
      <w:r>
        <w:rPr>
          <w:b/>
        </w:rPr>
        <w:t xml:space="preserve">Completá el cuadro con tus propios síntomas. </w:t>
      </w:r>
      <w:r>
        <w:t>Pueden ser, por ejemplo, síntomas articulares, de la piel o las uñas, fatiga, debilidad muscular, sequedad de ojos o boca, fenómeno de Raynaud u otros cambios que hayas notado. Los ejemplos son orientativos y no forman una lista cerrada.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2541"/>
        <w:gridCol w:w="2541"/>
        <w:gridCol w:w="2541"/>
        <w:gridCol w:w="2541"/>
      </w:tblGrid>
      <w:tr>
        <w:tc>
          <w:tcPr>
            <w:tcW w:type="dxa" w:w="2232"/>
            <w:shd w:fill="245F6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Síntoma</w:t>
            </w:r>
          </w:p>
        </w:tc>
        <w:tc>
          <w:tcPr>
            <w:tcW w:type="dxa" w:w="3960"/>
            <w:shd w:fill="245F6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Qué notaste y dónde</w:t>
            </w:r>
          </w:p>
        </w:tc>
        <w:tc>
          <w:tcPr>
            <w:tcW w:type="dxa" w:w="1800"/>
            <w:shd w:fill="245F6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Intensidad 0 a 10</w:t>
            </w:r>
          </w:p>
        </w:tc>
        <w:tc>
          <w:tcPr>
            <w:tcW w:type="dxa" w:w="1944"/>
            <w:shd w:fill="245F63"/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Cambio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</w:tcPr>
          <w:p>
            <w:pPr>
              <w:jc w:val="center"/>
            </w:pPr>
            <w:r>
              <w:t>Mejor  Igual  Peor</w:t>
            </w:r>
          </w:p>
        </w:tc>
      </w:tr>
      <w:tr>
        <w:tc>
          <w:tcPr>
            <w:tcW w:type="dxa" w:w="2232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396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r>
              <w:br/>
            </w:r>
          </w:p>
        </w:tc>
        <w:tc>
          <w:tcPr>
            <w:tcW w:type="dxa" w:w="1800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____</w:t>
            </w:r>
          </w:p>
        </w:tc>
        <w:tc>
          <w:tcPr>
            <w:tcW w:type="dxa" w:w="1944"/>
            <w:tcMar>
              <w:top w:w="75" w:type="dxa"/>
              <w:start w:w="90" w:type="dxa"/>
              <w:bottom w:w="75" w:type="dxa"/>
              <w:end w:w="90" w:type="dxa"/>
              <w:top w:w="75" w:type="dxa"/>
              <w:start w:w="90" w:type="dxa"/>
              <w:bottom w:w="75" w:type="dxa"/>
              <w:end w:w="90" w:type="dxa"/>
            </w:tcMar>
            <w:vAlign w:val="center"/>
            <w:shd w:fill="F5F9F8"/>
          </w:tcPr>
          <w:p>
            <w:pPr>
              <w:jc w:val="center"/>
            </w:pPr>
            <w:r>
              <w:t>Mejor  Igual  Peor</w:t>
            </w:r>
          </w:p>
        </w:tc>
      </w:tr>
    </w:tbl>
    <w:p>
      <w:pPr>
        <w:spacing w:before="120"/>
      </w:pPr>
      <w:r>
        <w:rPr>
          <w:b/>
        </w:rPr>
        <w:t xml:space="preserve">Fenómeno de Raynaud: </w:t>
      </w:r>
      <w:r>
        <w:t>anotá si los dedos cambian de color con el frío o el estrés, qué colores observás, cuánto dura y si aparece dolor, adormecimiento o lesiones.</w:t>
      </w:r>
    </w:p>
    <w:p>
      <w:r>
        <w:br w:type="page"/>
      </w:r>
    </w:p>
    <w:p>
      <w:pPr>
        <w:pStyle w:val="Title"/>
        <w:spacing w:after="120"/>
        <w:jc w:val="center"/>
      </w:pPr>
      <w:r>
        <w:t>Registro completo de síntomas</w:t>
      </w:r>
    </w:p>
    <w:p>
      <w:pPr>
        <w:jc w:val="center"/>
      </w:pPr>
      <w:r>
        <w:t>Los siguientes son ejemplos para ayudarte a recordar. Completá únicamente lo que corresponda y agregá cualquier otro síntoma que hayas tenido.</w:t>
      </w:r>
    </w:p>
    <w:p>
      <w:pPr>
        <w:pStyle w:val="Heading1"/>
        <w:keepNext/>
      </w:pPr>
      <w:r>
        <w:t>Articulaciones y movimiento</w:t>
      </w:r>
    </w:p>
    <w:p>
      <w:pPr>
        <w:pStyle w:val="ListBullet"/>
        <w:spacing w:after="80"/>
        <w:ind w:left="317" w:hanging="259"/>
      </w:pPr>
      <w:r>
        <w:t>Dolor, hinchazón, calor, rigidez o dificultad para mover una articulación.</w:t>
      </w:r>
    </w:p>
    <w:p>
      <w:pPr>
        <w:pStyle w:val="ListBullet"/>
        <w:spacing w:after="80"/>
        <w:ind w:left="317" w:hanging="259"/>
      </w:pPr>
      <w:r>
        <w:t>Rigidez al despertar y cuántos minutos u horas tarda en mejorar.</w:t>
      </w:r>
    </w:p>
    <w:p>
      <w:pPr>
        <w:pStyle w:val="ListBullet"/>
        <w:spacing w:after="80"/>
        <w:ind w:left="317" w:hanging="259"/>
      </w:pPr>
      <w:r>
        <w:t>Limitaciones para caminar, vestirte, abrir envases, trabajar o hacer actividad física.</w:t>
      </w:r>
    </w:p>
    <w:p>
      <w:pPr>
        <w:spacing w:after="40"/>
      </w:pPr>
      <w:r>
        <w:rPr>
          <w:b/>
        </w:rPr>
        <w:t xml:space="preserve">Zonas afectadas y cambios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pPr>
        <w:pStyle w:val="Heading1"/>
        <w:keepNext/>
      </w:pPr>
      <w:r>
        <w:t>Piel, uñas y mucosas</w:t>
      </w:r>
    </w:p>
    <w:p>
      <w:pPr>
        <w:pStyle w:val="ListBullet"/>
        <w:spacing w:after="80"/>
        <w:ind w:left="317" w:hanging="259"/>
      </w:pPr>
      <w:r>
        <w:t>Manchas, placas, enrojecimiento, picazón, heridas, caída de cabello o sensibilidad al sol.</w:t>
      </w:r>
    </w:p>
    <w:p>
      <w:pPr>
        <w:pStyle w:val="ListBullet"/>
        <w:spacing w:after="80"/>
        <w:ind w:left="317" w:hanging="259"/>
      </w:pPr>
      <w:r>
        <w:t>Cambios en las uñas, llagas en boca o nariz y lesiones genitales.</w:t>
      </w:r>
    </w:p>
    <w:p>
      <w:pPr>
        <w:spacing w:after="40"/>
      </w:pPr>
      <w:r>
        <w:rPr>
          <w:b/>
        </w:rPr>
        <w:t xml:space="preserve">Descripción y fecha de aparición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pPr>
        <w:pStyle w:val="Heading1"/>
        <w:keepNext/>
      </w:pPr>
      <w:r>
        <w:t>Fatiga, sueño y estado general</w:t>
      </w:r>
    </w:p>
    <w:p>
      <w:pPr>
        <w:pStyle w:val="ListBullet"/>
        <w:spacing w:after="80"/>
        <w:ind w:left="317" w:hanging="259"/>
      </w:pPr>
      <w:r>
        <w:t>Cansancio, sueño no reparador, fiebre, pérdida o aumento de peso y falta de apetito.</w:t>
      </w:r>
    </w:p>
    <w:p>
      <w:pPr>
        <w:pStyle w:val="ListBullet"/>
        <w:spacing w:after="80"/>
        <w:ind w:left="317" w:hanging="259"/>
      </w:pPr>
      <w:r>
        <w:t>Anotá cuánto afecta tu vida cotidiana y si necesitás descansar durante el día.</w:t>
      </w:r>
    </w:p>
    <w:p>
      <w:pPr>
        <w:spacing w:after="40"/>
      </w:pPr>
      <w:r>
        <w:rPr>
          <w:b/>
        </w:rPr>
        <w:t xml:space="preserve">Intensidad y repercusión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pPr>
        <w:pStyle w:val="Heading1"/>
        <w:keepNext/>
      </w:pPr>
      <w:r>
        <w:t>Raynaud, circulación y extremidades</w:t>
      </w:r>
    </w:p>
    <w:p>
      <w:pPr>
        <w:pStyle w:val="ListBullet"/>
        <w:spacing w:after="80"/>
        <w:ind w:left="317" w:hanging="259"/>
      </w:pPr>
      <w:r>
        <w:t>Cambios de color en dedos, sensación de frío, adormecimiento, dolor, úlceras o hinchazón.</w:t>
      </w:r>
    </w:p>
    <w:p>
      <w:pPr>
        <w:spacing w:after="40"/>
      </w:pPr>
      <w:r>
        <w:rPr>
          <w:b/>
        </w:rPr>
        <w:t xml:space="preserve">Qué ocurrió y con qué frecuencia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pPr>
        <w:pStyle w:val="Heading1"/>
        <w:keepNext/>
      </w:pPr>
      <w:r>
        <w:t>Otros síntomas</w:t>
      </w:r>
    </w:p>
    <w:p>
      <w:pPr>
        <w:pStyle w:val="ListBullet"/>
        <w:spacing w:after="80"/>
        <w:ind w:left="317" w:hanging="259"/>
      </w:pPr>
      <w:r>
        <w:t>Ojos secos, rojos o dolorosos; boca seca o dificultad para tragar.</w:t>
      </w:r>
    </w:p>
    <w:p>
      <w:pPr>
        <w:pStyle w:val="ListBullet"/>
        <w:spacing w:after="80"/>
        <w:ind w:left="317" w:hanging="259"/>
      </w:pPr>
      <w:r>
        <w:t>Debilidad muscular, calambres, hormigueos, dolor de cabeza o mareos.</w:t>
      </w:r>
    </w:p>
    <w:p>
      <w:pPr>
        <w:pStyle w:val="ListBullet"/>
        <w:spacing w:after="80"/>
        <w:ind w:left="317" w:hanging="259"/>
      </w:pPr>
      <w:r>
        <w:t>Falta de aire, tos, dolor en el pecho, palpitaciones o hinchazón de piernas.</w:t>
      </w:r>
    </w:p>
    <w:p>
      <w:pPr>
        <w:pStyle w:val="ListBullet"/>
        <w:spacing w:after="80"/>
        <w:ind w:left="317" w:hanging="259"/>
      </w:pPr>
      <w:r>
        <w:t>Dolor abdominal, diarrea, sangre en materia fecal o cambios urinarios.</w:t>
      </w:r>
    </w:p>
    <w:p>
      <w:pPr>
        <w:pStyle w:val="ListBullet"/>
        <w:spacing w:after="80"/>
        <w:ind w:left="317" w:hanging="259"/>
      </w:pPr>
      <w:r>
        <w:t>Cualquier otro síntoma nuevo o diferente desde el último control.</w:t>
      </w:r>
    </w:p>
    <w:p>
      <w:pPr>
        <w:spacing w:after="40"/>
      </w:pPr>
      <w:r>
        <w:rPr>
          <w:b/>
        </w:rPr>
        <w:t xml:space="preserve">Detalle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r>
        <w:br w:type="page"/>
      </w:r>
    </w:p>
    <w:p>
      <w:pPr>
        <w:pStyle w:val="Title"/>
        <w:spacing w:after="120"/>
        <w:jc w:val="center"/>
      </w:pPr>
      <w:r>
        <w:t>Tu resumen para el seguimiento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5083"/>
        <w:gridCol w:w="5083"/>
      </w:tblGrid>
      <w:tr>
        <w:tc>
          <w:tcPr>
            <w:tcW w:type="dxa" w:w="3672"/>
            <w:shd w:fill="EAF3F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rPr>
                <w:b/>
              </w:rPr>
              <w:t>Nombre y apellido</w:t>
            </w:r>
          </w:p>
        </w:tc>
        <w:tc>
          <w:tcPr>
            <w:tcW w:type="dxa" w:w="6192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br/>
            </w:r>
          </w:p>
        </w:tc>
      </w:tr>
      <w:tr>
        <w:tc>
          <w:tcPr>
            <w:tcW w:type="dxa" w:w="3672"/>
            <w:shd w:fill="EAF3F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rPr>
                <w:b/>
              </w:rPr>
              <w:t>Diagnóstico o enfermedad</w:t>
            </w:r>
          </w:p>
        </w:tc>
        <w:tc>
          <w:tcPr>
            <w:tcW w:type="dxa" w:w="6192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br/>
            </w:r>
          </w:p>
        </w:tc>
      </w:tr>
      <w:tr>
        <w:tc>
          <w:tcPr>
            <w:tcW w:type="dxa" w:w="3672"/>
            <w:shd w:fill="EAF3F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rPr>
                <w:b/>
              </w:rPr>
              <w:t>Fecha de la consulta anterior</w:t>
            </w:r>
          </w:p>
        </w:tc>
        <w:tc>
          <w:tcPr>
            <w:tcW w:type="dxa" w:w="6192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br/>
            </w:r>
          </w:p>
        </w:tc>
      </w:tr>
      <w:tr>
        <w:tc>
          <w:tcPr>
            <w:tcW w:type="dxa" w:w="3672"/>
            <w:shd w:fill="EAF3F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rPr>
                <w:b/>
              </w:rPr>
              <w:t>Fecha del próximo seguimiento</w:t>
            </w:r>
          </w:p>
        </w:tc>
        <w:tc>
          <w:tcPr>
            <w:tcW w:type="dxa" w:w="6192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r>
              <w:br/>
            </w:r>
          </w:p>
        </w:tc>
      </w:tr>
    </w:tbl>
    <w:p>
      <w:pPr>
        <w:pStyle w:val="Heading1"/>
        <w:keepNext/>
      </w:pPr>
      <w:r>
        <w:t>Los tres cambios más importantes</w:t>
      </w:r>
    </w:p>
    <w:p>
      <w:pPr>
        <w:spacing w:after="40"/>
      </w:pPr>
      <w:r>
        <w:rPr>
          <w:b/>
        </w:rPr>
        <w:t xml:space="preserve">1 </w:t>
      </w:r>
      <w:r>
        <w:t>________________________________________________________________________</w:t>
      </w:r>
    </w:p>
    <w:p>
      <w:pPr>
        <w:spacing w:after="40"/>
      </w:pPr>
      <w:r>
        <w:rPr>
          <w:b/>
        </w:rPr>
        <w:t xml:space="preserve">2 </w:t>
      </w:r>
      <w:r>
        <w:t>________________________________________________________________________</w:t>
      </w:r>
    </w:p>
    <w:p>
      <w:pPr>
        <w:spacing w:after="40"/>
      </w:pPr>
      <w:r>
        <w:rPr>
          <w:b/>
        </w:rPr>
        <w:t xml:space="preserve">3 </w:t>
      </w:r>
      <w:r>
        <w:t>________________________________________________________________________</w:t>
      </w:r>
    </w:p>
    <w:p>
      <w:pPr>
        <w:pStyle w:val="Heading1"/>
        <w:keepNext/>
      </w:pPr>
      <w:r>
        <w:t>Medicaciones actuales</w:t>
      </w:r>
    </w:p>
    <w:p>
      <w:r>
        <w:t>Incluí principio activo, dosis, frecuencia y cualquier cambio desde la última consulta.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D9D9"/>
          <w:left w:val="single" w:sz="6" w:color="D9D9D9"/>
          <w:bottom w:val="single" w:sz="6" w:color="D9D9D9"/>
          <w:right w:val="single" w:sz="6" w:color="D9D9D9"/>
          <w:insideH w:val="single" w:sz="6" w:color="D9D9D9"/>
          <w:insideV w:val="single" w:sz="6" w:color="D9D9D9"/>
        </w:tblBorders>
      </w:tblPr>
      <w:tblGrid>
        <w:gridCol w:w="2541"/>
        <w:gridCol w:w="2541"/>
        <w:gridCol w:w="2541"/>
        <w:gridCol w:w="2541"/>
      </w:tblGrid>
      <w:tr>
        <w:tc>
          <w:tcPr>
            <w:tcW w:type="dxa" w:w="3240"/>
            <w:shd w:fill="245F6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Principio activo</w:t>
            </w:r>
          </w:p>
        </w:tc>
        <w:tc>
          <w:tcPr>
            <w:tcW w:type="dxa" w:w="1512"/>
            <w:shd w:fill="245F6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Dosis</w:t>
            </w:r>
          </w:p>
        </w:tc>
        <w:tc>
          <w:tcPr>
            <w:tcW w:type="dxa" w:w="2088"/>
            <w:shd w:fill="245F6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Frecuencia</w:t>
            </w:r>
          </w:p>
        </w:tc>
        <w:tc>
          <w:tcPr>
            <w:tcW w:type="dxa" w:w="2952"/>
            <w:shd w:fill="245F63"/>
            <w:tcMar>
              <w:top w:w="85" w:type="dxa"/>
              <w:start w:w="95" w:type="dxa"/>
              <w:bottom w:w="85" w:type="dxa"/>
              <w:end w:w="9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Cambios o efectos adversos</w:t>
            </w: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</w:tcPr>
          <w:p>
            <w:pPr>
              <w:spacing w:after="0"/>
            </w:pPr>
          </w:p>
        </w:tc>
      </w:tr>
      <w:tr>
        <w:tc>
          <w:tcPr>
            <w:tcW w:type="dxa" w:w="3240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151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088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  <w:tc>
          <w:tcPr>
            <w:tcW w:type="dxa" w:w="2952"/>
            <w:tcMar>
              <w:top w:w="45" w:type="dxa"/>
              <w:start w:w="95" w:type="dxa"/>
              <w:bottom w:w="45" w:type="dxa"/>
              <w:end w:w="95" w:type="dxa"/>
            </w:tcMar>
            <w:vAlign w:val="center"/>
            <w:shd w:fill="F5F9F8"/>
          </w:tcPr>
          <w:p>
            <w:pPr>
              <w:spacing w:after="0"/>
            </w:pPr>
          </w:p>
        </w:tc>
      </w:tr>
    </w:tbl>
    <w:p>
      <w:pPr>
        <w:spacing w:before="100"/>
      </w:pPr>
      <w:r>
        <w:rPr>
          <w:b/>
        </w:rPr>
        <w:t xml:space="preserve">No suspendas ni cambies medicaciones por tu cuenta. </w:t>
      </w:r>
      <w:r>
        <w:t>Si no conocés el principio activo, llevá una foto clara del envase o la receta.</w:t>
      </w:r>
    </w:p>
    <w:p>
      <w:r>
        <w:br w:type="page"/>
      </w:r>
    </w:p>
    <w:p>
      <w:pPr>
        <w:pStyle w:val="Title"/>
        <w:spacing w:after="120"/>
        <w:jc w:val="center"/>
      </w:pPr>
      <w:r>
        <w:t>Información desde el último control</w:t>
      </w:r>
    </w:p>
    <w:p>
      <w:pPr>
        <w:pStyle w:val="Heading1"/>
        <w:keepNext/>
      </w:pPr>
      <w:r>
        <w:t>Estudios y otras consultas</w:t>
      </w:r>
    </w:p>
    <w:p>
      <w:pPr>
        <w:pStyle w:val="ListBullet"/>
        <w:spacing w:after="80"/>
        <w:ind w:left="317" w:hanging="259"/>
      </w:pPr>
      <w:r>
        <w:t>Llevá análisis, imágenes e informes nuevos, ordenados por fecha.</w:t>
      </w:r>
    </w:p>
    <w:p>
      <w:pPr>
        <w:pStyle w:val="ListBullet"/>
        <w:spacing w:after="80"/>
        <w:ind w:left="317" w:hanging="259"/>
      </w:pPr>
      <w:r>
        <w:t>Anotá consultas con otros profesionales, diagnósticos, guardias o internaciones.</w:t>
      </w:r>
    </w:p>
    <w:p>
      <w:pPr>
        <w:spacing w:after="40"/>
      </w:pPr>
      <w:r>
        <w:rPr>
          <w:b/>
        </w:rPr>
        <w:t xml:space="preserve">Estudios o consultas realizadas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pPr>
        <w:pStyle w:val="Heading1"/>
        <w:keepNext/>
      </w:pPr>
      <w:r>
        <w:t>Infecciones, vacunas y procedimientos</w:t>
      </w:r>
    </w:p>
    <w:p>
      <w:pPr>
        <w:pStyle w:val="ListBullet"/>
        <w:spacing w:after="80"/>
        <w:ind w:left="317" w:hanging="259"/>
      </w:pPr>
      <w:r>
        <w:t>Registrá infecciones, fiebre, uso de antibióticos y cualquier internación.</w:t>
      </w:r>
    </w:p>
    <w:p>
      <w:pPr>
        <w:pStyle w:val="ListBullet"/>
        <w:spacing w:after="80"/>
        <w:ind w:left="317" w:hanging="259"/>
      </w:pPr>
      <w:r>
        <w:t>Anotá las vacunas recibidas y la fecha aproximada.</w:t>
      </w:r>
    </w:p>
    <w:p>
      <w:pPr>
        <w:pStyle w:val="ListBullet"/>
        <w:spacing w:after="80"/>
        <w:ind w:left="317" w:hanging="259"/>
      </w:pPr>
      <w:r>
        <w:t>Informá cirugías, procedimientos odontológicos u otros procedimientos previstos o realizados.</w:t>
      </w:r>
    </w:p>
    <w:p>
      <w:pPr>
        <w:spacing w:after="40"/>
      </w:pPr>
      <w:r>
        <w:rPr>
          <w:b/>
        </w:rPr>
        <w:t xml:space="preserve">Detalle y fecha </w:t>
      </w:r>
      <w:r>
        <w:t>________________________________________________________________________</w:t>
      </w:r>
    </w:p>
    <w:p>
      <w:pPr>
        <w:spacing w:after="40"/>
      </w:pPr>
      <w:r>
        <w:t>________________________________________________________________________</w:t>
      </w:r>
    </w:p>
    <w:p>
      <w:pPr>
        <w:pStyle w:val="Heading1"/>
        <w:keepNext/>
      </w:pPr>
      <w:r>
        <w:t>Preguntas para la doctora</w:t>
      </w:r>
    </w:p>
    <w:p>
      <w:pPr>
        <w:spacing w:after="40"/>
      </w:pPr>
      <w:r>
        <w:rPr>
          <w:b/>
        </w:rPr>
        <w:t xml:space="preserve">1 </w:t>
      </w:r>
      <w:r>
        <w:t>________________________________________________________________________</w:t>
      </w:r>
    </w:p>
    <w:p>
      <w:pPr>
        <w:spacing w:after="40"/>
      </w:pPr>
      <w:r>
        <w:rPr>
          <w:b/>
        </w:rPr>
        <w:t xml:space="preserve">2 </w:t>
      </w:r>
      <w:r>
        <w:t>________________________________________________________________________</w:t>
      </w:r>
    </w:p>
    <w:p>
      <w:pPr>
        <w:spacing w:after="40"/>
      </w:pPr>
      <w:r>
        <w:rPr>
          <w:b/>
        </w:rPr>
        <w:t xml:space="preserve">3 </w:t>
      </w:r>
      <w:r>
        <w:t>________________________________________________________________________</w:t>
      </w:r>
    </w:p>
    <w:p>
      <w:pPr>
        <w:spacing w:after="40"/>
      </w:pPr>
      <w:r>
        <w:rPr>
          <w:b/>
        </w:rPr>
        <w:t xml:space="preserve">4 </w:t>
      </w:r>
      <w:r>
        <w:t>________________________________________________________________________</w:t>
      </w:r>
    </w:p>
    <w:p>
      <w:pPr>
        <w:pStyle w:val="Heading1"/>
        <w:keepNext/>
      </w:pPr>
      <w:r>
        <w:t>Envío anticipado de estudios</w:t>
      </w:r>
    </w:p>
    <w:p>
      <w:r>
        <w:rPr>
          <w:b/>
        </w:rPr>
        <w:t xml:space="preserve">Podés enviar los estudios antes de la consulta al correo que te indicó Secretaría. </w:t>
      </w:r>
      <w:r>
        <w:t>En el asunto escribí tu nombre y la fecha del turno. Enviá archivos legibles y ordenados por fecha, preferentemente en un único correo.</w:t>
      </w:r>
    </w:p>
    <w:p>
      <w:pPr>
        <w:pStyle w:val="Heading1"/>
        <w:keepNext/>
      </w:pPr>
      <w:r>
        <w:t>Importante</w:t>
      </w:r>
    </w:p>
    <w:p>
      <w:r>
        <w:t>Esta guía ayuda a organizar la información para el seguimiento y no reemplaza una consulta médica. Ante un síntoma intenso, repentino o preocupante, buscá atención médica sin esperar al próximo turno.</w:t>
      </w:r>
    </w:p>
    <w:sectPr w:rsidR="00FC693F" w:rsidRPr="0006063C" w:rsidSect="00034616">
      <w:footerReference w:type="default" r:id="rId9"/>
      <w:pgSz w:w="12240" w:h="15840"/>
      <w:pgMar w:top="835" w:right="1037" w:bottom="792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20"/>
      <w:jc w:val="center"/>
    </w:pPr>
    <w:r>
      <w:rPr>
        <w:rFonts w:ascii="Aptos" w:hAnsi="Aptos"/>
        <w:b/>
        <w:color w:val="245F63"/>
        <w:sz w:val="18"/>
      </w:rPr>
      <w:t>Consultorios MICNA · Olavarría 2838 · 2.º A · Mar del Plata</w:t>
    </w:r>
  </w:p>
  <w:p>
    <w:pPr>
      <w:spacing w:after="0"/>
      <w:jc w:val="center"/>
    </w:pPr>
    <w:r>
      <w:rPr>
        <w:rFonts w:ascii="Aptos" w:hAnsi="Aptos"/>
        <w:i/>
        <w:sz w:val="17"/>
      </w:rPr>
      <w:t>Consulta virtual: conectate cinco minutos antes y tené los estudios a mano.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72C3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Georgia" w:hAnsi="Georgia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